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63A" w:rsidRPr="00383166" w:rsidRDefault="0058114C" w:rsidP="003A563A">
      <w:pPr>
        <w:spacing w:line="276" w:lineRule="auto"/>
        <w:rPr>
          <w:rFonts w:eastAsiaTheme="majorEastAsia" w:cstheme="majorBidi"/>
          <w:b/>
          <w:sz w:val="40"/>
          <w:szCs w:val="32"/>
        </w:rPr>
      </w:pPr>
      <w:r>
        <w:rPr>
          <w:b/>
          <w:sz w:val="40"/>
          <w:szCs w:val="32"/>
        </w:rPr>
        <w:t xml:space="preserve">Wirtgen </w:t>
      </w:r>
      <w:r w:rsidR="00EF61F1" w:rsidRPr="005A527C">
        <w:rPr>
          <w:b/>
          <w:sz w:val="40"/>
          <w:szCs w:val="32"/>
        </w:rPr>
        <w:t>palet arası kalıplı</w:t>
      </w:r>
      <w:r>
        <w:rPr>
          <w:b/>
          <w:sz w:val="40"/>
          <w:szCs w:val="32"/>
        </w:rPr>
        <w:t xml:space="preserve"> kayar kalıplı finişer: En üst kalitede beton serimi</w:t>
      </w:r>
    </w:p>
    <w:p w:rsidR="003A563A" w:rsidRPr="003A563A" w:rsidRDefault="003A563A" w:rsidP="003A563A">
      <w:pPr>
        <w:spacing w:line="276" w:lineRule="auto"/>
        <w:rPr>
          <w:rFonts w:ascii="Verdana" w:eastAsia="Times New Roman" w:hAnsi="Verdana" w:cs="Times New Roman"/>
          <w:sz w:val="22"/>
          <w:szCs w:val="22"/>
          <w:lang w:eastAsia="de-DE"/>
        </w:rPr>
      </w:pPr>
    </w:p>
    <w:p w:rsidR="003A563A" w:rsidRPr="00150094" w:rsidRDefault="003A563A" w:rsidP="003A563A">
      <w:pPr>
        <w:spacing w:line="276" w:lineRule="auto"/>
        <w:rPr>
          <w:rFonts w:ascii="Verdana" w:eastAsia="Times New Roman" w:hAnsi="Verdana" w:cs="Times New Roman"/>
          <w:sz w:val="22"/>
          <w:szCs w:val="22"/>
        </w:rPr>
      </w:pPr>
      <w:r>
        <w:rPr>
          <w:rFonts w:ascii="Verdana" w:hAnsi="Verdana"/>
          <w:sz w:val="22"/>
          <w:szCs w:val="22"/>
        </w:rPr>
        <w:t>Wirtgen SP 6</w:t>
      </w:r>
      <w:r w:rsidR="005C05E1">
        <w:rPr>
          <w:rFonts w:ascii="Verdana" w:hAnsi="Verdana"/>
          <w:sz w:val="22"/>
          <w:szCs w:val="22"/>
        </w:rPr>
        <w:t>2</w:t>
      </w:r>
      <w:r>
        <w:rPr>
          <w:rFonts w:ascii="Verdana" w:hAnsi="Verdana"/>
          <w:sz w:val="22"/>
          <w:szCs w:val="22"/>
        </w:rPr>
        <w:t xml:space="preserve">i gibi </w:t>
      </w:r>
      <w:r w:rsidR="00EF61F1" w:rsidRPr="005A527C">
        <w:rPr>
          <w:rFonts w:ascii="Verdana" w:hAnsi="Verdana"/>
          <w:sz w:val="22"/>
          <w:szCs w:val="22"/>
        </w:rPr>
        <w:t>palet arası kalıplı</w:t>
      </w:r>
      <w:r>
        <w:rPr>
          <w:rFonts w:ascii="Verdana" w:hAnsi="Verdana"/>
          <w:sz w:val="22"/>
          <w:szCs w:val="22"/>
        </w:rPr>
        <w:t xml:space="preserve"> kayar kalıplı finişerler ekonomik beton kaplama üretimi için en ideal ekipmandir. SP 60 serisine ait bu makine Houston’ın yaklaşık 150 km kuzeybatısında bulunan College Station şehrinin eski Texas World Speedway arazisinde yeni yollar inşa etti - hem de çok belirgin bir şekilde.</w:t>
      </w:r>
    </w:p>
    <w:p w:rsidR="003A563A" w:rsidRPr="003A563A" w:rsidRDefault="003A563A" w:rsidP="003A563A">
      <w:pPr>
        <w:spacing w:line="276" w:lineRule="auto"/>
        <w:rPr>
          <w:rFonts w:ascii="Verdana" w:eastAsia="Times New Roman" w:hAnsi="Verdana" w:cs="Times New Roman"/>
          <w:b/>
          <w:sz w:val="22"/>
          <w:szCs w:val="22"/>
          <w:lang w:eastAsia="de-DE"/>
        </w:rPr>
      </w:pPr>
    </w:p>
    <w:p w:rsidR="003A563A" w:rsidRPr="003A563A" w:rsidRDefault="003A563A" w:rsidP="003A563A">
      <w:pPr>
        <w:spacing w:line="276" w:lineRule="auto"/>
        <w:rPr>
          <w:rFonts w:ascii="Verdana" w:eastAsia="Times New Roman" w:hAnsi="Verdana" w:cs="Times New Roman"/>
          <w:b/>
          <w:sz w:val="22"/>
          <w:szCs w:val="22"/>
        </w:rPr>
      </w:pPr>
      <w:r>
        <w:rPr>
          <w:rFonts w:ascii="Verdana" w:hAnsi="Verdana"/>
          <w:b/>
          <w:sz w:val="22"/>
          <w:szCs w:val="22"/>
        </w:rPr>
        <w:t>SP 62i Teksas’ta yeni yollar inşa ediyor</w:t>
      </w:r>
    </w:p>
    <w:p w:rsidR="003A563A" w:rsidRPr="003A563A" w:rsidRDefault="003A563A" w:rsidP="003A563A">
      <w:pPr>
        <w:spacing w:line="276" w:lineRule="auto"/>
        <w:rPr>
          <w:rFonts w:ascii="Verdana" w:eastAsia="Times New Roman" w:hAnsi="Verdana" w:cs="Times New Roman"/>
          <w:sz w:val="22"/>
          <w:szCs w:val="22"/>
        </w:rPr>
      </w:pPr>
      <w:r>
        <w:rPr>
          <w:rFonts w:ascii="Verdana" w:hAnsi="Verdana"/>
          <w:sz w:val="22"/>
          <w:szCs w:val="22"/>
        </w:rPr>
        <w:t>Gelecek 12 yılda 2,6 km² bir alana inşa edilecek olan</w:t>
      </w:r>
      <w:r>
        <w:rPr>
          <w:rFonts w:ascii="Arial" w:hAnsi="Arial"/>
          <w:sz w:val="22"/>
          <w:szCs w:val="24"/>
        </w:rPr>
        <w:t xml:space="preserve"> </w:t>
      </w:r>
      <w:r>
        <w:rPr>
          <w:rFonts w:ascii="Verdana" w:hAnsi="Verdana"/>
          <w:sz w:val="22"/>
          <w:szCs w:val="22"/>
        </w:rPr>
        <w:t>yeni “yerleşim bölgesi</w:t>
      </w:r>
      <w:r w:rsidR="0019047C">
        <w:rPr>
          <w:rFonts w:ascii="Verdana" w:hAnsi="Verdana"/>
          <w:sz w:val="22"/>
          <w:szCs w:val="22"/>
        </w:rPr>
        <w:t xml:space="preserve"> Southern Pointe“ için 76.000 m</w:t>
      </w:r>
      <w:r w:rsidR="0019047C" w:rsidRPr="0019047C">
        <w:rPr>
          <w:rFonts w:ascii="Verdana" w:hAnsi="Verdana"/>
          <w:sz w:val="22"/>
          <w:szCs w:val="22"/>
          <w:vertAlign w:val="superscript"/>
        </w:rPr>
        <w:t>2</w:t>
      </w:r>
      <w:r>
        <w:rPr>
          <w:rFonts w:ascii="Verdana" w:hAnsi="Verdana"/>
          <w:sz w:val="22"/>
          <w:szCs w:val="22"/>
        </w:rPr>
        <w:t xml:space="preserve">’den fazla yola ihtiyaç var. İnşaat şirketi Larry Young Paving Inc’in işletme müdürü Mark Schinzler, seçim kriterlerinden birini böyle tanımlıyor: “Sık sık şehir içinde çalıştığımız için özellikle SP 62i ile çalışmaya karar verdik.” Wirtgen’in kompakt 2 </w:t>
      </w:r>
      <w:r w:rsidR="00EF61F1" w:rsidRPr="00483D0E">
        <w:rPr>
          <w:rFonts w:ascii="Verdana" w:hAnsi="Verdana"/>
          <w:sz w:val="22"/>
          <w:szCs w:val="22"/>
        </w:rPr>
        <w:t>paletli</w:t>
      </w:r>
      <w:r w:rsidR="00EF61F1">
        <w:rPr>
          <w:rFonts w:ascii="Verdana" w:hAnsi="Verdana"/>
          <w:sz w:val="22"/>
          <w:szCs w:val="22"/>
        </w:rPr>
        <w:t xml:space="preserve"> </w:t>
      </w:r>
      <w:r>
        <w:rPr>
          <w:rFonts w:ascii="Verdana" w:hAnsi="Verdana"/>
          <w:sz w:val="22"/>
          <w:szCs w:val="22"/>
        </w:rPr>
        <w:t xml:space="preserve">finişeri ile 3.50 ile 7.50 m genişliğinde ve maks. 450 mm kalınlığında beton yüzeylere hassas bir şekilde serilebilir – özel serme genişlikleri, serme kalınlıkları ve seçenekleri talep üzerine mümkündür. </w:t>
      </w:r>
    </w:p>
    <w:p w:rsidR="003A563A" w:rsidRPr="003A563A" w:rsidRDefault="003A563A" w:rsidP="003A563A">
      <w:pPr>
        <w:spacing w:line="276" w:lineRule="auto"/>
        <w:rPr>
          <w:rFonts w:ascii="Verdana" w:eastAsia="Times New Roman" w:hAnsi="Verdana" w:cs="Times New Roman"/>
          <w:sz w:val="22"/>
          <w:szCs w:val="22"/>
          <w:lang w:eastAsia="de-DE"/>
        </w:rPr>
      </w:pPr>
    </w:p>
    <w:p w:rsidR="005C05E1" w:rsidRDefault="003A563A" w:rsidP="003A563A">
      <w:pPr>
        <w:spacing w:line="276" w:lineRule="auto"/>
        <w:rPr>
          <w:rFonts w:ascii="Verdana" w:hAnsi="Verdana"/>
          <w:sz w:val="22"/>
          <w:szCs w:val="22"/>
        </w:rPr>
      </w:pPr>
      <w:r>
        <w:rPr>
          <w:rFonts w:ascii="Verdana" w:hAnsi="Verdana"/>
          <w:sz w:val="22"/>
          <w:szCs w:val="22"/>
        </w:rPr>
        <w:t xml:space="preserve">College Station’deki yerleşim yerinin başlangıç noktası güney girişi idi. </w:t>
      </w:r>
      <w:r w:rsidR="00483D0E" w:rsidRPr="00483D0E">
        <w:rPr>
          <w:rFonts w:ascii="Verdana" w:hAnsi="Verdana"/>
          <w:sz w:val="22"/>
          <w:szCs w:val="22"/>
        </w:rPr>
        <w:t>Palet arası kalıplı</w:t>
      </w:r>
      <w:r>
        <w:rPr>
          <w:rFonts w:ascii="Verdana" w:hAnsi="Verdana"/>
          <w:sz w:val="22"/>
          <w:szCs w:val="22"/>
        </w:rPr>
        <w:t xml:space="preserve"> finişer, betonu, kireç ile stabilize edilmiş bir alt tabaka üzerine 670 m uzunluğunda 11,5 m genişliğinde ve 200 mm kalınlığında iki </w:t>
      </w:r>
      <w:r w:rsidR="00EF61F1" w:rsidRPr="00483D0E">
        <w:rPr>
          <w:rFonts w:ascii="Verdana" w:hAnsi="Verdana"/>
          <w:sz w:val="22"/>
          <w:szCs w:val="22"/>
        </w:rPr>
        <w:t>pasta</w:t>
      </w:r>
      <w:r>
        <w:rPr>
          <w:rFonts w:ascii="Verdana" w:hAnsi="Verdana"/>
          <w:sz w:val="22"/>
          <w:szCs w:val="22"/>
        </w:rPr>
        <w:t xml:space="preserve"> ve yüzde üçlük bir balık sırtı profili ile</w:t>
      </w:r>
      <w:r w:rsidRPr="00483D0E">
        <w:rPr>
          <w:rFonts w:ascii="Verdana" w:hAnsi="Verdana"/>
          <w:sz w:val="22"/>
          <w:szCs w:val="22"/>
        </w:rPr>
        <w:t xml:space="preserve"> </w:t>
      </w:r>
      <w:r>
        <w:rPr>
          <w:rFonts w:ascii="Verdana" w:hAnsi="Verdana"/>
          <w:sz w:val="22"/>
          <w:szCs w:val="22"/>
        </w:rPr>
        <w:t>serdi. Sessiz çalışması ve otomatik süper mala gibi teknik özellikleriyle çok iddialıydı. “Süper malanın düzensizlikleri yok etmesi harikaydı“, diyor Schinzler</w:t>
      </w:r>
      <w:r>
        <w:rPr>
          <w:rFonts w:ascii="Arial" w:hAnsi="Arial"/>
          <w:sz w:val="22"/>
          <w:szCs w:val="24"/>
        </w:rPr>
        <w:t xml:space="preserve"> </w:t>
      </w:r>
      <w:r>
        <w:rPr>
          <w:rFonts w:ascii="Verdana" w:hAnsi="Verdana"/>
          <w:sz w:val="22"/>
          <w:szCs w:val="22"/>
        </w:rPr>
        <w:t xml:space="preserve">beton yüzeyin düzgünlüğünden ne kadar etkilendiğini vurgulayarak. Ekibin satış öncesinde Nashville’deki Wirtgen Centre for Training &amp; Technology’de yapılan eğitimde daha önce de deneyimlediği gibi, SP 62i’nin kolay kullanımından da etkilenmişti. </w:t>
      </w:r>
    </w:p>
    <w:p w:rsidR="005C05E1" w:rsidRDefault="005C05E1" w:rsidP="003A563A">
      <w:pPr>
        <w:spacing w:line="276" w:lineRule="auto"/>
        <w:rPr>
          <w:rFonts w:ascii="Verdana" w:hAnsi="Verdana"/>
          <w:sz w:val="22"/>
          <w:szCs w:val="22"/>
        </w:rPr>
      </w:pPr>
    </w:p>
    <w:p w:rsidR="003A563A" w:rsidRPr="003A563A" w:rsidRDefault="003A563A" w:rsidP="003A563A">
      <w:pPr>
        <w:spacing w:line="276" w:lineRule="auto"/>
        <w:rPr>
          <w:rFonts w:ascii="Verdana" w:eastAsia="Times New Roman" w:hAnsi="Verdana" w:cs="Times New Roman"/>
          <w:sz w:val="22"/>
          <w:szCs w:val="22"/>
        </w:rPr>
      </w:pPr>
      <w:r>
        <w:rPr>
          <w:rFonts w:ascii="Verdana" w:hAnsi="Verdana"/>
          <w:sz w:val="22"/>
          <w:szCs w:val="22"/>
        </w:rPr>
        <w:t>“Tüm çalışanlar finişerin kullanımına oldukça aşina ve kendini onunla rahat hissediyor,“</w:t>
      </w:r>
      <w:r>
        <w:rPr>
          <w:rFonts w:ascii="Arial" w:hAnsi="Arial"/>
          <w:sz w:val="22"/>
          <w:szCs w:val="24"/>
        </w:rPr>
        <w:t xml:space="preserve"> </w:t>
      </w:r>
      <w:r>
        <w:rPr>
          <w:rFonts w:ascii="Verdana" w:hAnsi="Verdana"/>
          <w:sz w:val="22"/>
          <w:szCs w:val="22"/>
        </w:rPr>
        <w:t xml:space="preserve"> diyor işletme müdürü. Ayrıca, ABD’deki Wirtgen Grubunun müşteri hizmetlerini de vurguluyor: “Teknik ve uygulama ile ilgili sorularda sunulan destek harika.</w:t>
      </w:r>
      <w:r>
        <w:rPr>
          <w:rFonts w:ascii="Arial" w:hAnsi="Arial"/>
          <w:sz w:val="22"/>
          <w:szCs w:val="24"/>
        </w:rPr>
        <w:t xml:space="preserve"> </w:t>
      </w:r>
      <w:r>
        <w:rPr>
          <w:rFonts w:ascii="Verdana" w:hAnsi="Verdana"/>
          <w:sz w:val="22"/>
          <w:szCs w:val="22"/>
        </w:rPr>
        <w:t>Çalışanlarınız 24 saat boyunca bize destek sunmaya hazır. ”</w:t>
      </w:r>
    </w:p>
    <w:p w:rsidR="00AA69CC" w:rsidRPr="0014683F" w:rsidRDefault="00AA69CC" w:rsidP="00082F31">
      <w:pPr>
        <w:pStyle w:val="Text"/>
        <w:suppressAutoHyphens/>
        <w:spacing w:line="276" w:lineRule="auto"/>
      </w:pP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952"/>
        <w:gridCol w:w="4856"/>
      </w:tblGrid>
      <w:tr w:rsidR="003A563A" w:rsidRPr="005C6EE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p>
        </w:tc>
        <w:tc>
          <w:tcPr>
            <w:tcW w:w="4815" w:type="dxa"/>
          </w:tcPr>
          <w:p w:rsidR="003A563A" w:rsidRPr="005C6EEC" w:rsidRDefault="003A563A" w:rsidP="00B463D0">
            <w:pPr>
              <w:spacing w:line="280" w:lineRule="atLeast"/>
              <w:rPr>
                <w:rFonts w:ascii="Verdana" w:hAnsi="Verdana"/>
                <w:sz w:val="20"/>
                <w:szCs w:val="16"/>
              </w:rPr>
            </w:pPr>
          </w:p>
        </w:tc>
      </w:tr>
      <w:tr w:rsidR="003A563A" w:rsidRPr="005C6EEC" w:rsidTr="00B463D0">
        <w:trPr>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r>
              <w:rPr>
                <w:rFonts w:ascii="Verdana" w:hAnsi="Verdana"/>
                <w:noProof/>
                <w:lang w:val="de-DE" w:eastAsia="zh-CN"/>
              </w:rPr>
              <w:drawing>
                <wp:inline distT="0" distB="0" distL="0" distR="0" wp14:anchorId="5E372347" wp14:editId="045140F6">
                  <wp:extent cx="2509114" cy="1697127"/>
                  <wp:effectExtent l="0" t="0" r="5715"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521298" cy="1705368"/>
                          </a:xfrm>
                          <a:prstGeom prst="rect">
                            <a:avLst/>
                          </a:prstGeom>
                          <a:noFill/>
                          <a:ln>
                            <a:noFill/>
                          </a:ln>
                        </pic:spPr>
                      </pic:pic>
                    </a:graphicData>
                  </a:graphic>
                </wp:inline>
              </w:drawing>
            </w:r>
          </w:p>
        </w:tc>
        <w:tc>
          <w:tcPr>
            <w:tcW w:w="4815" w:type="dxa"/>
          </w:tcPr>
          <w:p w:rsidR="003A563A" w:rsidRPr="005C6EEC"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W_photo_SP62i_00006_HI</w:t>
            </w:r>
          </w:p>
          <w:p w:rsidR="003A563A" w:rsidRPr="005C6EEC" w:rsidRDefault="003A563A" w:rsidP="003E421A">
            <w:pPr>
              <w:spacing w:line="280" w:lineRule="atLeast"/>
              <w:rPr>
                <w:rFonts w:ascii="Verdana" w:hAnsi="Verdana"/>
                <w:sz w:val="20"/>
                <w:szCs w:val="16"/>
              </w:rPr>
            </w:pPr>
            <w:r>
              <w:rPr>
                <w:rFonts w:ascii="Verdana" w:hAnsi="Verdana"/>
                <w:sz w:val="20"/>
                <w:szCs w:val="16"/>
              </w:rPr>
              <w:t xml:space="preserve">Kompakt Wirtgen </w:t>
            </w:r>
            <w:r w:rsidR="00EF61F1" w:rsidRPr="003E421A">
              <w:rPr>
                <w:rFonts w:ascii="Verdana" w:hAnsi="Verdana"/>
                <w:sz w:val="20"/>
                <w:szCs w:val="16"/>
              </w:rPr>
              <w:t xml:space="preserve">Palet arası kalıplı </w:t>
            </w:r>
            <w:r>
              <w:rPr>
                <w:rFonts w:ascii="Verdana" w:hAnsi="Verdana"/>
                <w:sz w:val="20"/>
                <w:szCs w:val="16"/>
              </w:rPr>
              <w:t xml:space="preserve">finişer SP 62i’nin </w:t>
            </w:r>
            <w:r>
              <w:t xml:space="preserve"> </w:t>
            </w:r>
            <w:r>
              <w:rPr>
                <w:rFonts w:ascii="Verdana" w:hAnsi="Verdana"/>
                <w:sz w:val="20"/>
                <w:szCs w:val="16"/>
              </w:rPr>
              <w:t>akıllı direksiyon ve kontrol sistemi çok sessiz bir çalışma sağlar.</w:t>
            </w:r>
          </w:p>
        </w:tc>
      </w:tr>
    </w:tbl>
    <w:p w:rsidR="003A563A" w:rsidRDefault="003A563A" w:rsidP="003A563A">
      <w:pPr>
        <w:rPr>
          <w:rFonts w:ascii="Verdana" w:hAnsi="Verdana"/>
          <w:szCs w:val="22"/>
        </w:rPr>
      </w:pPr>
    </w:p>
    <w:tbl>
      <w:tblPr>
        <w:tblStyle w:val="Basic"/>
        <w:tblW w:w="0" w:type="auto"/>
        <w:tblCellSpacing w:w="71" w:type="dxa"/>
        <w:tblLook w:val="04A0" w:firstRow="1" w:lastRow="0" w:firstColumn="1" w:lastColumn="0" w:noHBand="0" w:noVBand="1"/>
      </w:tblPr>
      <w:tblGrid>
        <w:gridCol w:w="4953"/>
        <w:gridCol w:w="4855"/>
      </w:tblGrid>
      <w:tr w:rsidR="003A563A" w:rsidRPr="008F7B7C" w:rsidTr="008A07CD">
        <w:trPr>
          <w:cnfStyle w:val="100000000000" w:firstRow="1" w:lastRow="0" w:firstColumn="0" w:lastColumn="0" w:oddVBand="0" w:evenVBand="0" w:oddHBand="0" w:evenHBand="0" w:firstRowFirstColumn="0" w:firstRowLastColumn="0" w:lastRowFirstColumn="0" w:lastRowLastColumn="0"/>
          <w:tblCellSpacing w:w="71" w:type="dxa"/>
        </w:trPr>
        <w:tc>
          <w:tcPr>
            <w:tcW w:w="4740" w:type="dxa"/>
            <w:tcBorders>
              <w:right w:val="single" w:sz="4" w:space="0" w:color="auto"/>
            </w:tcBorders>
          </w:tcPr>
          <w:p w:rsidR="003A563A" w:rsidRPr="005C6EEC" w:rsidRDefault="003A563A" w:rsidP="00B463D0">
            <w:pPr>
              <w:rPr>
                <w:rFonts w:ascii="Verdana" w:hAnsi="Verdana"/>
                <w:szCs w:val="16"/>
              </w:rPr>
            </w:pPr>
            <w:r>
              <w:rPr>
                <w:rFonts w:ascii="Verdana" w:hAnsi="Verdana"/>
                <w:noProof/>
                <w:lang w:val="de-DE" w:eastAsia="zh-CN"/>
              </w:rPr>
              <w:drawing>
                <wp:inline distT="0" distB="0" distL="0" distR="0" wp14:anchorId="3C35D736" wp14:editId="788E1525">
                  <wp:extent cx="2521298" cy="16831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21298" cy="1683100"/>
                          </a:xfrm>
                          <a:prstGeom prst="rect">
                            <a:avLst/>
                          </a:prstGeom>
                          <a:noFill/>
                          <a:ln>
                            <a:noFill/>
                          </a:ln>
                        </pic:spPr>
                      </pic:pic>
                    </a:graphicData>
                  </a:graphic>
                </wp:inline>
              </w:drawing>
            </w:r>
          </w:p>
        </w:tc>
        <w:tc>
          <w:tcPr>
            <w:tcW w:w="4642" w:type="dxa"/>
          </w:tcPr>
          <w:p w:rsidR="003A563A" w:rsidRPr="00997F23"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W_photo_SP62i_00005_HI</w:t>
            </w:r>
          </w:p>
          <w:p w:rsidR="003A563A" w:rsidRPr="008F7B7C" w:rsidRDefault="003A563A" w:rsidP="00B463D0">
            <w:pPr>
              <w:spacing w:line="280" w:lineRule="atLeast"/>
              <w:rPr>
                <w:rFonts w:ascii="Verdana" w:hAnsi="Verdana"/>
                <w:sz w:val="20"/>
                <w:szCs w:val="16"/>
              </w:rPr>
            </w:pPr>
            <w:r>
              <w:rPr>
                <w:rFonts w:ascii="Verdana" w:hAnsi="Verdana"/>
                <w:sz w:val="20"/>
                <w:szCs w:val="16"/>
              </w:rPr>
              <w:t>Güney Pointe projesini geliştiren Wallace Phillips ve Larry Young Paving Inc başkanı Larry Young</w:t>
            </w:r>
            <w:r>
              <w:t xml:space="preserve"> </w:t>
            </w:r>
            <w:r>
              <w:rPr>
                <w:rFonts w:ascii="Verdana" w:hAnsi="Verdana"/>
                <w:sz w:val="20"/>
                <w:szCs w:val="16"/>
              </w:rPr>
              <w:t>ilk yol bölümünü ziyaret ederken.</w:t>
            </w:r>
          </w:p>
        </w:tc>
      </w:tr>
    </w:tbl>
    <w:p w:rsidR="003A563A" w:rsidRPr="008F7B7C" w:rsidRDefault="003A563A" w:rsidP="003A563A">
      <w:pPr>
        <w:rPr>
          <w:rFonts w:ascii="Verdana" w:hAnsi="Verdana"/>
          <w:szCs w:val="22"/>
        </w:rPr>
      </w:pPr>
    </w:p>
    <w:p w:rsidR="00351388" w:rsidRDefault="00351388" w:rsidP="00D166AC">
      <w:pPr>
        <w:pStyle w:val="Text"/>
      </w:pPr>
    </w:p>
    <w:p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244981" w:rsidRDefault="00244981" w:rsidP="00D166AC">
      <w:pPr>
        <w:pStyle w:val="Text"/>
      </w:pPr>
    </w:p>
    <w:p w:rsidR="00C03396" w:rsidRDefault="00C03396" w:rsidP="00D166AC">
      <w:pPr>
        <w:pStyle w:val="Text"/>
      </w:pPr>
    </w:p>
    <w:p w:rsidR="000A7276" w:rsidRDefault="000A7276"/>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DAHA FAZLA BİLGİ İÇİN </w:t>
            </w:r>
          </w:p>
          <w:p w:rsidR="00D166AC" w:rsidRDefault="002844EF" w:rsidP="0034191A">
            <w:pPr>
              <w:pStyle w:val="HeadlineKontakte"/>
            </w:pPr>
            <w:r>
              <w:rPr>
                <w:rFonts w:ascii="Verdana" w:hAnsi="Verdana"/>
                <w:caps w:val="0"/>
                <w:szCs w:val="22"/>
              </w:rPr>
              <w:t>BİZİMLE İLETİŞİME GEÇİN</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0F1A5E" w:rsidP="008D4AE7">
            <w:pPr>
              <w:pStyle w:val="Text"/>
            </w:pPr>
            <w:r>
              <w:t xml:space="preserve">Telefon: +49 (0) 2645 131 – </w:t>
            </w:r>
            <w:r w:rsidR="003D4D24">
              <w:t>0</w:t>
            </w:r>
            <w:bookmarkStart w:id="0" w:name="_GoBack"/>
            <w:bookmarkEnd w:id="0"/>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39C" w:rsidRDefault="005E539C" w:rsidP="00E55534">
      <w:r>
        <w:separator/>
      </w:r>
    </w:p>
  </w:endnote>
  <w:endnote w:type="continuationSeparator" w:id="0">
    <w:p w:rsidR="005E539C" w:rsidRDefault="005E53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F1A5E">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3D6C2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93263"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39C" w:rsidRDefault="005E539C" w:rsidP="00E55534">
      <w:r>
        <w:separator/>
      </w:r>
    </w:p>
  </w:footnote>
  <w:footnote w:type="continuationSeparator" w:id="0">
    <w:p w:rsidR="005E539C" w:rsidRDefault="005E53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647D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81C03"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0F1A5E"/>
    <w:rsid w:val="00103205"/>
    <w:rsid w:val="0012026F"/>
    <w:rsid w:val="00132055"/>
    <w:rsid w:val="0014683F"/>
    <w:rsid w:val="00150094"/>
    <w:rsid w:val="0019047C"/>
    <w:rsid w:val="001B16BB"/>
    <w:rsid w:val="00244981"/>
    <w:rsid w:val="00253A2E"/>
    <w:rsid w:val="002844EF"/>
    <w:rsid w:val="0029634D"/>
    <w:rsid w:val="00296479"/>
    <w:rsid w:val="002E765F"/>
    <w:rsid w:val="002F108B"/>
    <w:rsid w:val="002F2851"/>
    <w:rsid w:val="0034191A"/>
    <w:rsid w:val="00343CC7"/>
    <w:rsid w:val="00351388"/>
    <w:rsid w:val="00383166"/>
    <w:rsid w:val="00384A08"/>
    <w:rsid w:val="003A563A"/>
    <w:rsid w:val="003A753A"/>
    <w:rsid w:val="003D4D24"/>
    <w:rsid w:val="003E1CB6"/>
    <w:rsid w:val="003E3CF6"/>
    <w:rsid w:val="003E421A"/>
    <w:rsid w:val="003E759F"/>
    <w:rsid w:val="00403373"/>
    <w:rsid w:val="00406C81"/>
    <w:rsid w:val="00412545"/>
    <w:rsid w:val="00430BB0"/>
    <w:rsid w:val="00463D7D"/>
    <w:rsid w:val="00476F4D"/>
    <w:rsid w:val="00483D0E"/>
    <w:rsid w:val="004D23C5"/>
    <w:rsid w:val="00506409"/>
    <w:rsid w:val="00530E32"/>
    <w:rsid w:val="005711A3"/>
    <w:rsid w:val="00572433"/>
    <w:rsid w:val="00573B2B"/>
    <w:rsid w:val="0058114C"/>
    <w:rsid w:val="005A4F04"/>
    <w:rsid w:val="005A527C"/>
    <w:rsid w:val="005B3697"/>
    <w:rsid w:val="005B5793"/>
    <w:rsid w:val="005C05E1"/>
    <w:rsid w:val="005E539C"/>
    <w:rsid w:val="006330A2"/>
    <w:rsid w:val="00642EB6"/>
    <w:rsid w:val="006510FB"/>
    <w:rsid w:val="00671F3E"/>
    <w:rsid w:val="006A6782"/>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A07CD"/>
    <w:rsid w:val="008C2DB2"/>
    <w:rsid w:val="008D4AE7"/>
    <w:rsid w:val="008D770E"/>
    <w:rsid w:val="0090337E"/>
    <w:rsid w:val="0094310B"/>
    <w:rsid w:val="009A7E90"/>
    <w:rsid w:val="009C2378"/>
    <w:rsid w:val="009D016F"/>
    <w:rsid w:val="009E251D"/>
    <w:rsid w:val="00A171F4"/>
    <w:rsid w:val="00A24EFC"/>
    <w:rsid w:val="00A80677"/>
    <w:rsid w:val="00A977CE"/>
    <w:rsid w:val="00AA69CC"/>
    <w:rsid w:val="00AD131F"/>
    <w:rsid w:val="00AF3B3A"/>
    <w:rsid w:val="00AF6569"/>
    <w:rsid w:val="00B06265"/>
    <w:rsid w:val="00B5695F"/>
    <w:rsid w:val="00B90F78"/>
    <w:rsid w:val="00BD1058"/>
    <w:rsid w:val="00BD50BE"/>
    <w:rsid w:val="00BF56B2"/>
    <w:rsid w:val="00C03396"/>
    <w:rsid w:val="00C1451A"/>
    <w:rsid w:val="00C14CD3"/>
    <w:rsid w:val="00C457C3"/>
    <w:rsid w:val="00C46E71"/>
    <w:rsid w:val="00C644CA"/>
    <w:rsid w:val="00C73005"/>
    <w:rsid w:val="00CF36C9"/>
    <w:rsid w:val="00D0267A"/>
    <w:rsid w:val="00D166AC"/>
    <w:rsid w:val="00D23C1F"/>
    <w:rsid w:val="00D24067"/>
    <w:rsid w:val="00D32143"/>
    <w:rsid w:val="00E14608"/>
    <w:rsid w:val="00E21E67"/>
    <w:rsid w:val="00E30EBF"/>
    <w:rsid w:val="00E52D70"/>
    <w:rsid w:val="00E55534"/>
    <w:rsid w:val="00E73142"/>
    <w:rsid w:val="00E914D1"/>
    <w:rsid w:val="00EF61F1"/>
    <w:rsid w:val="00F03020"/>
    <w:rsid w:val="00F040EA"/>
    <w:rsid w:val="00F20920"/>
    <w:rsid w:val="00F56318"/>
    <w:rsid w:val="00F82525"/>
    <w:rsid w:val="00F97FEA"/>
    <w:rsid w:val="00FB679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6AD386"/>
  <w15:docId w15:val="{63A1666D-F858-4B5B-A7C6-F525D3CA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6FD08-00B0-42E2-BF10-E8F775199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386</Words>
  <Characters>2433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8</cp:revision>
  <dcterms:created xsi:type="dcterms:W3CDTF">2019-09-18T09:53:00Z</dcterms:created>
  <dcterms:modified xsi:type="dcterms:W3CDTF">2020-11-16T11:59:00Z</dcterms:modified>
</cp:coreProperties>
</file>